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7B51A8" w:rsidRDefault="007B51A8"/>
    <w:p w:rsidR="007B51A8" w:rsidRDefault="007B51A8"/>
    <w:p w:rsidR="007B51A8" w:rsidRDefault="007B51A8"/>
    <w:p w:rsidR="00EA115B" w:rsidRPr="00EA115B" w:rsidRDefault="0026164E" w:rsidP="00EA115B">
      <w:pPr>
        <w:spacing w:line="480" w:lineRule="auto"/>
        <w:jc w:val="center"/>
        <w:rPr>
          <w:rFonts w:ascii="Times New Roman" w:hAnsi="Times New Roman" w:cs="Times New Roman"/>
          <w:color w:val="000000" w:themeColor="text1"/>
          <w:sz w:val="24"/>
          <w:szCs w:val="24"/>
        </w:rPr>
      </w:pPr>
      <w:r w:rsidRPr="00EA115B">
        <w:rPr>
          <w:rFonts w:ascii="Times New Roman" w:hAnsi="Times New Roman" w:cs="Times New Roman"/>
          <w:sz w:val="24"/>
          <w:szCs w:val="24"/>
        </w:rPr>
        <w:t>Henderson-Hasselbalch Equation</w:t>
      </w:r>
    </w:p>
    <w:p w:rsidR="00EA115B" w:rsidRPr="00EA115B" w:rsidRDefault="0026164E" w:rsidP="00EA115B">
      <w:pPr>
        <w:spacing w:line="480" w:lineRule="auto"/>
        <w:jc w:val="center"/>
        <w:rPr>
          <w:rFonts w:ascii="Times New Roman" w:hAnsi="Times New Roman" w:cs="Times New Roman"/>
          <w:color w:val="000000" w:themeColor="text1"/>
          <w:sz w:val="24"/>
          <w:szCs w:val="24"/>
        </w:rPr>
      </w:pPr>
      <w:r w:rsidRPr="00EA115B">
        <w:rPr>
          <w:rFonts w:ascii="Times New Roman" w:hAnsi="Times New Roman" w:cs="Times New Roman"/>
          <w:color w:val="000000" w:themeColor="text1"/>
          <w:sz w:val="24"/>
          <w:szCs w:val="24"/>
        </w:rPr>
        <w:t>Student Name</w:t>
      </w:r>
    </w:p>
    <w:p w:rsidR="00EA115B" w:rsidRPr="00EA115B" w:rsidRDefault="0026164E" w:rsidP="00EA115B">
      <w:pPr>
        <w:spacing w:line="480" w:lineRule="auto"/>
        <w:jc w:val="center"/>
        <w:rPr>
          <w:rFonts w:ascii="Times New Roman" w:hAnsi="Times New Roman" w:cs="Times New Roman"/>
          <w:color w:val="000000" w:themeColor="text1"/>
          <w:sz w:val="24"/>
          <w:szCs w:val="24"/>
        </w:rPr>
      </w:pPr>
      <w:r w:rsidRPr="00EA115B">
        <w:rPr>
          <w:rFonts w:ascii="Times New Roman" w:hAnsi="Times New Roman" w:cs="Times New Roman"/>
          <w:color w:val="000000" w:themeColor="text1"/>
          <w:sz w:val="24"/>
          <w:szCs w:val="24"/>
        </w:rPr>
        <w:t>Institution Affiliation</w:t>
      </w:r>
    </w:p>
    <w:p w:rsidR="00EA115B" w:rsidRDefault="0026164E" w:rsidP="00EA115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EA115B" w:rsidRDefault="00EA115B" w:rsidP="00EA115B">
      <w:pPr>
        <w:jc w:val="center"/>
      </w:pPr>
    </w:p>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Default="00EA115B"/>
    <w:p w:rsidR="00EA115B" w:rsidRPr="00EA115B" w:rsidRDefault="0026164E" w:rsidP="00EA115B">
      <w:pPr>
        <w:spacing w:after="0" w:line="480" w:lineRule="auto"/>
        <w:ind w:firstLine="851"/>
        <w:jc w:val="center"/>
        <w:rPr>
          <w:rFonts w:ascii="Times New Roman" w:hAnsi="Times New Roman" w:cs="Times New Roman"/>
          <w:color w:val="000000" w:themeColor="text1"/>
          <w:sz w:val="24"/>
          <w:szCs w:val="24"/>
        </w:rPr>
      </w:pPr>
      <w:r w:rsidRPr="00EA115B">
        <w:rPr>
          <w:rFonts w:ascii="Times New Roman" w:hAnsi="Times New Roman" w:cs="Times New Roman"/>
          <w:color w:val="000000" w:themeColor="text1"/>
          <w:sz w:val="24"/>
          <w:szCs w:val="24"/>
        </w:rPr>
        <w:lastRenderedPageBreak/>
        <w:t>Henderson-Hasselbalch Equation</w:t>
      </w:r>
    </w:p>
    <w:p w:rsidR="00EA115B" w:rsidRPr="00EA115B" w:rsidRDefault="0026164E" w:rsidP="00EA115B">
      <w:pPr>
        <w:spacing w:after="0" w:line="480" w:lineRule="auto"/>
        <w:ind w:firstLine="851"/>
        <w:rPr>
          <w:rFonts w:ascii="Times New Roman" w:hAnsi="Times New Roman" w:cs="Times New Roman"/>
          <w:color w:val="000000" w:themeColor="text1"/>
          <w:sz w:val="24"/>
          <w:szCs w:val="24"/>
        </w:rPr>
      </w:pPr>
      <w:r w:rsidRPr="00EA115B">
        <w:rPr>
          <w:rFonts w:ascii="Times New Roman" w:hAnsi="Times New Roman" w:cs="Times New Roman"/>
          <w:color w:val="000000" w:themeColor="text1"/>
          <w:sz w:val="24"/>
          <w:szCs w:val="24"/>
        </w:rPr>
        <w:t xml:space="preserve">Henderson-Hasselbalch equation is mostly used in chemistry to </w:t>
      </w:r>
      <w:r w:rsidR="002D2E6E" w:rsidRPr="00EA115B">
        <w:rPr>
          <w:rFonts w:ascii="Times New Roman" w:hAnsi="Times New Roman" w:cs="Times New Roman"/>
          <w:color w:val="000000" w:themeColor="text1"/>
          <w:sz w:val="24"/>
          <w:szCs w:val="24"/>
        </w:rPr>
        <w:t>estimate</w:t>
      </w:r>
      <w:r w:rsidRPr="00EA115B">
        <w:rPr>
          <w:rFonts w:ascii="Times New Roman" w:hAnsi="Times New Roman" w:cs="Times New Roman"/>
          <w:color w:val="000000" w:themeColor="text1"/>
          <w:sz w:val="24"/>
          <w:szCs w:val="24"/>
        </w:rPr>
        <w:t xml:space="preserve"> the pH of a </w:t>
      </w:r>
      <w:r w:rsidR="002D2E6E">
        <w:rPr>
          <w:rFonts w:ascii="Times New Roman" w:hAnsi="Times New Roman" w:cs="Times New Roman"/>
          <w:color w:val="000000" w:themeColor="text1"/>
          <w:sz w:val="24"/>
          <w:szCs w:val="24"/>
        </w:rPr>
        <w:t>fluid</w:t>
      </w:r>
      <w:r w:rsidRPr="00EA115B">
        <w:rPr>
          <w:rFonts w:ascii="Times New Roman" w:hAnsi="Times New Roman" w:cs="Times New Roman"/>
          <w:color w:val="000000" w:themeColor="text1"/>
          <w:sz w:val="24"/>
          <w:szCs w:val="24"/>
        </w:rPr>
        <w:t>. Lawrence Joseph Henderson developed the equation in 1908. The equation is as follows: pH=pKa + Log10 (Base/acid) (</w:t>
      </w:r>
      <w:r w:rsidRPr="00EA115B">
        <w:rPr>
          <w:rFonts w:ascii="Times New Roman" w:hAnsi="Times New Roman" w:cs="Times New Roman"/>
          <w:color w:val="000000" w:themeColor="text1"/>
          <w:sz w:val="24"/>
          <w:szCs w:val="24"/>
          <w:shd w:val="clear" w:color="auto" w:fill="FFFFFF"/>
        </w:rPr>
        <w:t>Reynolds &amp; Tam, 2015)</w:t>
      </w:r>
      <w:r w:rsidRPr="00EA115B">
        <w:rPr>
          <w:rFonts w:ascii="Times New Roman" w:hAnsi="Times New Roman" w:cs="Times New Roman"/>
          <w:color w:val="000000" w:themeColor="text1"/>
          <w:sz w:val="24"/>
          <w:szCs w:val="24"/>
        </w:rPr>
        <w:t xml:space="preserve">. Therefore, this equation can be used to determine the pH of a solution that has both acid and base. Hypothetical clinical scenarios are the situations that are proposed based on </w:t>
      </w:r>
      <w:r w:rsidR="00497257" w:rsidRPr="00EA115B">
        <w:rPr>
          <w:rFonts w:ascii="Times New Roman" w:hAnsi="Times New Roman" w:cs="Times New Roman"/>
          <w:color w:val="000000" w:themeColor="text1"/>
          <w:sz w:val="24"/>
          <w:szCs w:val="24"/>
        </w:rPr>
        <w:t xml:space="preserve">a concept or theory in health care </w:t>
      </w:r>
      <w:r w:rsidR="007D154B">
        <w:rPr>
          <w:rFonts w:ascii="Times New Roman" w:hAnsi="Times New Roman" w:cs="Times New Roman"/>
          <w:color w:val="000000" w:themeColor="text1"/>
          <w:sz w:val="24"/>
          <w:szCs w:val="24"/>
        </w:rPr>
        <w:t>settings</w:t>
      </w:r>
      <w:r w:rsidR="00497257" w:rsidRPr="00EA115B">
        <w:rPr>
          <w:rFonts w:ascii="Times New Roman" w:hAnsi="Times New Roman" w:cs="Times New Roman"/>
          <w:color w:val="000000" w:themeColor="text1"/>
          <w:sz w:val="24"/>
          <w:szCs w:val="24"/>
        </w:rPr>
        <w:t xml:space="preserve"> to find solutions. The scenarios are significant in enhancing the learning process among the students and health care providers in the health care setup. Also, researchers use hypothetical scenarios to make judgments and provide information that helps to enhance solutions in the health care sector.</w:t>
      </w:r>
    </w:p>
    <w:p w:rsidR="00024356" w:rsidRPr="00EA115B" w:rsidRDefault="0026164E" w:rsidP="00EA115B">
      <w:pPr>
        <w:spacing w:after="0" w:line="480" w:lineRule="auto"/>
        <w:ind w:firstLine="851"/>
        <w:rPr>
          <w:rFonts w:ascii="Times New Roman" w:hAnsi="Times New Roman" w:cs="Times New Roman"/>
          <w:color w:val="000000" w:themeColor="text1"/>
          <w:sz w:val="24"/>
          <w:szCs w:val="24"/>
        </w:rPr>
      </w:pPr>
      <w:r w:rsidRPr="00EA115B">
        <w:rPr>
          <w:rFonts w:ascii="Times New Roman" w:hAnsi="Times New Roman" w:cs="Times New Roman"/>
          <w:color w:val="000000" w:themeColor="text1"/>
          <w:sz w:val="24"/>
          <w:szCs w:val="24"/>
        </w:rPr>
        <w:t xml:space="preserve"> The Henderson-Hasselbalch equation is significant in hypothetical clinical situations. The equation can be used in the clinical setup to explain the process that leads to acidosis. Metabolic acidosis occurs following the lack of acid-base balance in the body. The use of equation is significant in estimating the pH of the blood and the elements of the carbonic acid buffering system. The equation utilizes the qualitative and semi qualitative approach, together with a stable ion and base excess theory. The equation provides the suggestion in the clinical </w:t>
      </w:r>
      <w:r w:rsidR="0002784C" w:rsidRPr="00EA115B">
        <w:rPr>
          <w:rFonts w:ascii="Times New Roman" w:hAnsi="Times New Roman" w:cs="Times New Roman"/>
          <w:color w:val="000000" w:themeColor="text1"/>
          <w:sz w:val="24"/>
          <w:szCs w:val="24"/>
        </w:rPr>
        <w:t>case</w:t>
      </w:r>
      <w:r w:rsidRPr="00EA115B">
        <w:rPr>
          <w:rFonts w:ascii="Times New Roman" w:hAnsi="Times New Roman" w:cs="Times New Roman"/>
          <w:color w:val="000000" w:themeColor="text1"/>
          <w:sz w:val="24"/>
          <w:szCs w:val="24"/>
        </w:rPr>
        <w:t xml:space="preserve"> on the cause of acid-base imbalance that leads to the acidosis</w:t>
      </w:r>
      <w:r w:rsidR="00EA115B" w:rsidRPr="00EA115B">
        <w:rPr>
          <w:rFonts w:ascii="Times New Roman" w:hAnsi="Times New Roman" w:cs="Times New Roman"/>
          <w:color w:val="000000" w:themeColor="text1"/>
          <w:sz w:val="24"/>
          <w:szCs w:val="24"/>
        </w:rPr>
        <w:t xml:space="preserve"> (</w:t>
      </w:r>
      <w:r w:rsidR="00EA115B" w:rsidRPr="00EA115B">
        <w:rPr>
          <w:rFonts w:ascii="Times New Roman" w:hAnsi="Times New Roman" w:cs="Times New Roman"/>
          <w:color w:val="000000" w:themeColor="text1"/>
          <w:sz w:val="24"/>
          <w:szCs w:val="24"/>
          <w:shd w:val="clear" w:color="auto" w:fill="FFFFFF"/>
        </w:rPr>
        <w:t>Bergman &amp; Litwin, 2014)</w:t>
      </w:r>
      <w:r w:rsidRPr="00EA115B">
        <w:rPr>
          <w:rFonts w:ascii="Times New Roman" w:hAnsi="Times New Roman" w:cs="Times New Roman"/>
          <w:color w:val="000000" w:themeColor="text1"/>
          <w:sz w:val="24"/>
          <w:szCs w:val="24"/>
        </w:rPr>
        <w:t xml:space="preserve">. </w:t>
      </w:r>
      <w:r w:rsidR="0002784C" w:rsidRPr="00EA115B">
        <w:rPr>
          <w:rFonts w:ascii="Times New Roman" w:hAnsi="Times New Roman" w:cs="Times New Roman"/>
          <w:color w:val="000000" w:themeColor="text1"/>
          <w:sz w:val="24"/>
          <w:szCs w:val="24"/>
        </w:rPr>
        <w:t xml:space="preserve">The equation is also significant in calculating the regulation of hydrogen ion in the body. The calculation of hydrogen ions in the body enhances the suggestion of body functioning, which leads to the pathophysiology of diseases like Guillain-Barre syndrome and poliomyelitis which results from acidosis. The calculation of the acid-base regulation in the body suggests other risks such as hypoventilation when the acid is excess in the body. Therefore, the equation </w:t>
      </w:r>
      <w:r w:rsidR="00EA115B" w:rsidRPr="00EA115B">
        <w:rPr>
          <w:rFonts w:ascii="Times New Roman" w:hAnsi="Times New Roman" w:cs="Times New Roman"/>
          <w:color w:val="000000" w:themeColor="text1"/>
          <w:sz w:val="24"/>
          <w:szCs w:val="24"/>
        </w:rPr>
        <w:t>is useful</w:t>
      </w:r>
      <w:r w:rsidR="0002784C" w:rsidRPr="00EA115B">
        <w:rPr>
          <w:rFonts w:ascii="Times New Roman" w:hAnsi="Times New Roman" w:cs="Times New Roman"/>
          <w:color w:val="000000" w:themeColor="text1"/>
          <w:sz w:val="24"/>
          <w:szCs w:val="24"/>
        </w:rPr>
        <w:t xml:space="preserve"> in proving hypothetical clinical scenarios that are not yet confirmed but are suggested by various theories. The equation can be used to </w:t>
      </w:r>
      <w:r w:rsidR="00EA115B" w:rsidRPr="00EA115B">
        <w:rPr>
          <w:rFonts w:ascii="Times New Roman" w:hAnsi="Times New Roman" w:cs="Times New Roman"/>
          <w:color w:val="000000" w:themeColor="text1"/>
          <w:sz w:val="24"/>
          <w:szCs w:val="24"/>
        </w:rPr>
        <w:lastRenderedPageBreak/>
        <w:t>support research concepts in clinical situations as it provides estimated values of the different pH elements in the body, suggesting the pathophysiology of a disease.</w:t>
      </w: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Default="00EA115B" w:rsidP="00EA115B">
      <w:pPr>
        <w:spacing w:after="0" w:line="480" w:lineRule="auto"/>
        <w:ind w:firstLine="851"/>
        <w:rPr>
          <w:rFonts w:ascii="Times New Roman" w:hAnsi="Times New Roman" w:cs="Times New Roman"/>
          <w:color w:val="000000" w:themeColor="text1"/>
          <w:sz w:val="24"/>
          <w:szCs w:val="24"/>
        </w:rPr>
      </w:pPr>
    </w:p>
    <w:p w:rsidR="00EA115B" w:rsidRPr="00EA115B" w:rsidRDefault="0026164E" w:rsidP="00EA115B">
      <w:pPr>
        <w:spacing w:after="0" w:line="480" w:lineRule="auto"/>
        <w:ind w:firstLine="851"/>
        <w:jc w:val="center"/>
        <w:rPr>
          <w:rFonts w:ascii="Times New Roman" w:hAnsi="Times New Roman" w:cs="Times New Roman"/>
          <w:color w:val="000000" w:themeColor="text1"/>
          <w:sz w:val="24"/>
          <w:szCs w:val="24"/>
        </w:rPr>
      </w:pPr>
      <w:r w:rsidRPr="00EA115B">
        <w:rPr>
          <w:rFonts w:ascii="Times New Roman" w:hAnsi="Times New Roman" w:cs="Times New Roman"/>
          <w:color w:val="000000" w:themeColor="text1"/>
          <w:sz w:val="24"/>
          <w:szCs w:val="24"/>
        </w:rPr>
        <w:lastRenderedPageBreak/>
        <w:t>References</w:t>
      </w:r>
    </w:p>
    <w:p w:rsidR="00EA115B" w:rsidRPr="00EA115B" w:rsidRDefault="0026164E" w:rsidP="00EA115B">
      <w:pPr>
        <w:spacing w:after="0" w:line="480" w:lineRule="auto"/>
        <w:ind w:left="851" w:hanging="851"/>
        <w:rPr>
          <w:rFonts w:ascii="Times New Roman" w:hAnsi="Times New Roman" w:cs="Times New Roman"/>
          <w:color w:val="000000" w:themeColor="text1"/>
          <w:sz w:val="24"/>
          <w:szCs w:val="24"/>
        </w:rPr>
      </w:pPr>
      <w:bookmarkStart w:id="0" w:name="_Hlk44324789"/>
      <w:r w:rsidRPr="00EA115B">
        <w:rPr>
          <w:rFonts w:ascii="Times New Roman" w:hAnsi="Times New Roman" w:cs="Times New Roman"/>
          <w:color w:val="000000" w:themeColor="text1"/>
          <w:sz w:val="24"/>
          <w:szCs w:val="24"/>
          <w:shd w:val="clear" w:color="auto" w:fill="FFFFFF"/>
        </w:rPr>
        <w:t>Bergman, J., &amp; Litwin, M. (2014</w:t>
      </w:r>
      <w:bookmarkEnd w:id="0"/>
      <w:r w:rsidRPr="00EA115B">
        <w:rPr>
          <w:rFonts w:ascii="Times New Roman" w:hAnsi="Times New Roman" w:cs="Times New Roman"/>
          <w:color w:val="000000" w:themeColor="text1"/>
          <w:sz w:val="24"/>
          <w:szCs w:val="24"/>
          <w:shd w:val="clear" w:color="auto" w:fill="FFFFFF"/>
        </w:rPr>
        <w:t>). The Henderson-Hasselbalch Equation for Urologists. </w:t>
      </w:r>
      <w:r w:rsidRPr="00EA115B">
        <w:rPr>
          <w:rFonts w:ascii="Times New Roman" w:hAnsi="Times New Roman" w:cs="Times New Roman"/>
          <w:i/>
          <w:iCs/>
          <w:color w:val="000000" w:themeColor="text1"/>
          <w:sz w:val="24"/>
          <w:szCs w:val="24"/>
          <w:shd w:val="clear" w:color="auto" w:fill="FFFFFF"/>
        </w:rPr>
        <w:t>European Urology</w:t>
      </w:r>
      <w:r w:rsidRPr="00EA115B">
        <w:rPr>
          <w:rFonts w:ascii="Times New Roman" w:hAnsi="Times New Roman" w:cs="Times New Roman"/>
          <w:color w:val="000000" w:themeColor="text1"/>
          <w:sz w:val="24"/>
          <w:szCs w:val="24"/>
          <w:shd w:val="clear" w:color="auto" w:fill="FFFFFF"/>
        </w:rPr>
        <w:t>, </w:t>
      </w:r>
      <w:r w:rsidRPr="00EA115B">
        <w:rPr>
          <w:rFonts w:ascii="Times New Roman" w:hAnsi="Times New Roman" w:cs="Times New Roman"/>
          <w:i/>
          <w:iCs/>
          <w:color w:val="000000" w:themeColor="text1"/>
          <w:sz w:val="24"/>
          <w:szCs w:val="24"/>
          <w:shd w:val="clear" w:color="auto" w:fill="FFFFFF"/>
        </w:rPr>
        <w:t>65</w:t>
      </w:r>
      <w:r w:rsidRPr="00EA115B">
        <w:rPr>
          <w:rFonts w:ascii="Times New Roman" w:hAnsi="Times New Roman" w:cs="Times New Roman"/>
          <w:color w:val="000000" w:themeColor="text1"/>
          <w:sz w:val="24"/>
          <w:szCs w:val="24"/>
          <w:shd w:val="clear" w:color="auto" w:fill="FFFFFF"/>
        </w:rPr>
        <w:t>(1), 48-49. doi: 10.1016/j.eururo.2012.12.021</w:t>
      </w:r>
    </w:p>
    <w:p w:rsidR="00EA115B" w:rsidRPr="00EA115B" w:rsidRDefault="0026164E" w:rsidP="00EA115B">
      <w:pPr>
        <w:spacing w:after="0" w:line="480" w:lineRule="auto"/>
        <w:ind w:left="851" w:hanging="851"/>
        <w:rPr>
          <w:rFonts w:ascii="Times New Roman" w:hAnsi="Times New Roman" w:cs="Times New Roman"/>
          <w:color w:val="000000" w:themeColor="text1"/>
          <w:sz w:val="24"/>
          <w:szCs w:val="24"/>
          <w:shd w:val="clear" w:color="auto" w:fill="FFFFFF"/>
        </w:rPr>
      </w:pPr>
      <w:r w:rsidRPr="00EA115B">
        <w:rPr>
          <w:rFonts w:ascii="Times New Roman" w:hAnsi="Times New Roman" w:cs="Times New Roman"/>
          <w:color w:val="000000" w:themeColor="text1"/>
          <w:sz w:val="24"/>
          <w:szCs w:val="24"/>
          <w:shd w:val="clear" w:color="auto" w:fill="FFFFFF"/>
        </w:rPr>
        <w:t>Reynolds, D., &amp; Tam, K. (2015). pKa values in solubility determination using the Henderson-Hasselbalch equation. </w:t>
      </w:r>
      <w:r w:rsidRPr="00EA115B">
        <w:rPr>
          <w:rFonts w:ascii="Times New Roman" w:hAnsi="Times New Roman" w:cs="Times New Roman"/>
          <w:i/>
          <w:iCs/>
          <w:color w:val="000000" w:themeColor="text1"/>
          <w:sz w:val="24"/>
          <w:szCs w:val="24"/>
          <w:shd w:val="clear" w:color="auto" w:fill="FFFFFF"/>
        </w:rPr>
        <w:t>ADMET &amp; DMPK</w:t>
      </w:r>
      <w:r w:rsidRPr="00EA115B">
        <w:rPr>
          <w:rFonts w:ascii="Times New Roman" w:hAnsi="Times New Roman" w:cs="Times New Roman"/>
          <w:color w:val="000000" w:themeColor="text1"/>
          <w:sz w:val="24"/>
          <w:szCs w:val="24"/>
          <w:shd w:val="clear" w:color="auto" w:fill="FFFFFF"/>
        </w:rPr>
        <w:t>, </w:t>
      </w:r>
      <w:r w:rsidRPr="00EA115B">
        <w:rPr>
          <w:rFonts w:ascii="Times New Roman" w:hAnsi="Times New Roman" w:cs="Times New Roman"/>
          <w:i/>
          <w:iCs/>
          <w:color w:val="000000" w:themeColor="text1"/>
          <w:sz w:val="24"/>
          <w:szCs w:val="24"/>
          <w:shd w:val="clear" w:color="auto" w:fill="FFFFFF"/>
        </w:rPr>
        <w:t>3</w:t>
      </w:r>
      <w:r w:rsidRPr="00EA115B">
        <w:rPr>
          <w:rFonts w:ascii="Times New Roman" w:hAnsi="Times New Roman" w:cs="Times New Roman"/>
          <w:color w:val="000000" w:themeColor="text1"/>
          <w:sz w:val="24"/>
          <w:szCs w:val="24"/>
          <w:shd w:val="clear" w:color="auto" w:fill="FFFFFF"/>
        </w:rPr>
        <w:t>(4). doi: 10.5599/admet.3.4.261</w:t>
      </w:r>
    </w:p>
    <w:sectPr w:rsidR="00EA115B" w:rsidRPr="00EA115B" w:rsidSect="00EA115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A91" w:rsidRDefault="00F75A91">
      <w:pPr>
        <w:spacing w:after="0" w:line="240" w:lineRule="auto"/>
      </w:pPr>
      <w:r>
        <w:separator/>
      </w:r>
    </w:p>
  </w:endnote>
  <w:endnote w:type="continuationSeparator" w:id="1">
    <w:p w:rsidR="00F75A91" w:rsidRDefault="00F75A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A91" w:rsidRDefault="00F75A91">
      <w:pPr>
        <w:spacing w:after="0" w:line="240" w:lineRule="auto"/>
      </w:pPr>
      <w:r>
        <w:separator/>
      </w:r>
    </w:p>
  </w:footnote>
  <w:footnote w:type="continuationSeparator" w:id="1">
    <w:p w:rsidR="00F75A91" w:rsidRDefault="00F75A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5B" w:rsidRDefault="0026164E" w:rsidP="00EA115B">
    <w:pPr>
      <w:pStyle w:val="Header"/>
    </w:pPr>
    <w:r w:rsidRPr="00EA115B">
      <w:rPr>
        <w:rFonts w:ascii="Times New Roman" w:hAnsi="Times New Roman" w:cs="Times New Roman"/>
        <w:sz w:val="24"/>
        <w:szCs w:val="24"/>
      </w:rPr>
      <w:t>HENDERSON-HASSELBALCH EQUATION</w:t>
    </w:r>
    <w:sdt>
      <w:sdtPr>
        <w:rPr>
          <w:rFonts w:ascii="Times New Roman" w:hAnsi="Times New Roman" w:cs="Times New Roman"/>
          <w:sz w:val="24"/>
          <w:szCs w:val="24"/>
        </w:rPr>
        <w:id w:val="2075848057"/>
        <w:docPartObj>
          <w:docPartGallery w:val="Page Numbers (Top of Page)"/>
          <w:docPartUnique/>
        </w:docPartObj>
      </w:sdtPr>
      <w:sdtEndPr>
        <w:rPr>
          <w:noProof/>
        </w:rPr>
      </w:sdtEndPr>
      <w:sdtContent>
        <w:r w:rsidR="007B51A8">
          <w:rPr>
            <w:rFonts w:ascii="Times New Roman" w:hAnsi="Times New Roman" w:cs="Times New Roman"/>
            <w:sz w:val="24"/>
            <w:szCs w:val="24"/>
          </w:rPr>
          <w:t xml:space="preserve">                                                           </w:t>
        </w:r>
        <w:r w:rsidR="00E9537A" w:rsidRPr="00EA115B">
          <w:rPr>
            <w:rFonts w:ascii="Times New Roman" w:hAnsi="Times New Roman" w:cs="Times New Roman"/>
            <w:sz w:val="24"/>
            <w:szCs w:val="24"/>
          </w:rPr>
          <w:fldChar w:fldCharType="begin"/>
        </w:r>
        <w:r w:rsidRPr="00EA115B">
          <w:rPr>
            <w:rFonts w:ascii="Times New Roman" w:hAnsi="Times New Roman" w:cs="Times New Roman"/>
            <w:sz w:val="24"/>
            <w:szCs w:val="24"/>
          </w:rPr>
          <w:instrText xml:space="preserve"> PAGE   \* MERGEFORMAT </w:instrText>
        </w:r>
        <w:r w:rsidR="00E9537A" w:rsidRPr="00EA115B">
          <w:rPr>
            <w:rFonts w:ascii="Times New Roman" w:hAnsi="Times New Roman" w:cs="Times New Roman"/>
            <w:sz w:val="24"/>
            <w:szCs w:val="24"/>
          </w:rPr>
          <w:fldChar w:fldCharType="separate"/>
        </w:r>
        <w:r w:rsidR="00C32204">
          <w:rPr>
            <w:rFonts w:ascii="Times New Roman" w:hAnsi="Times New Roman" w:cs="Times New Roman"/>
            <w:noProof/>
            <w:sz w:val="24"/>
            <w:szCs w:val="24"/>
          </w:rPr>
          <w:t>4</w:t>
        </w:r>
        <w:r w:rsidR="00E9537A" w:rsidRPr="00EA115B">
          <w:rPr>
            <w:rFonts w:ascii="Times New Roman" w:hAnsi="Times New Roman" w:cs="Times New Roman"/>
            <w:noProof/>
            <w:sz w:val="24"/>
            <w:szCs w:val="24"/>
          </w:rPr>
          <w:fldChar w:fldCharType="end"/>
        </w:r>
      </w:sdtContent>
    </w:sdt>
  </w:p>
  <w:p w:rsidR="00EA115B" w:rsidRDefault="00EA11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5B" w:rsidRPr="00EA115B" w:rsidRDefault="0026164E" w:rsidP="00EA115B">
    <w:pPr>
      <w:pStyle w:val="Header"/>
      <w:rPr>
        <w:rFonts w:ascii="Times New Roman" w:hAnsi="Times New Roman" w:cs="Times New Roman"/>
        <w:sz w:val="24"/>
        <w:szCs w:val="24"/>
      </w:rPr>
    </w:pPr>
    <w:r w:rsidRPr="00EA115B">
      <w:rPr>
        <w:rFonts w:ascii="Times New Roman" w:hAnsi="Times New Roman" w:cs="Times New Roman"/>
        <w:sz w:val="24"/>
        <w:szCs w:val="24"/>
      </w:rPr>
      <w:t>Running head: HENDERSON-HASSELBALCH EQUATION</w:t>
    </w:r>
    <w:sdt>
      <w:sdtPr>
        <w:rPr>
          <w:rFonts w:ascii="Times New Roman" w:hAnsi="Times New Roman" w:cs="Times New Roman"/>
          <w:sz w:val="24"/>
          <w:szCs w:val="24"/>
        </w:rPr>
        <w:id w:val="-280338010"/>
        <w:docPartObj>
          <w:docPartGallery w:val="Page Numbers (Top of Page)"/>
          <w:docPartUnique/>
        </w:docPartObj>
      </w:sdtPr>
      <w:sdtEndPr>
        <w:rPr>
          <w:noProof/>
        </w:rPr>
      </w:sdtEndPr>
      <w:sdtContent>
        <w:r w:rsidR="007B51A8">
          <w:rPr>
            <w:rFonts w:ascii="Times New Roman" w:hAnsi="Times New Roman" w:cs="Times New Roman"/>
            <w:sz w:val="24"/>
            <w:szCs w:val="24"/>
          </w:rPr>
          <w:t xml:space="preserve">                                               </w:t>
        </w:r>
        <w:r w:rsidR="00E9537A" w:rsidRPr="00EA115B">
          <w:rPr>
            <w:rFonts w:ascii="Times New Roman" w:hAnsi="Times New Roman" w:cs="Times New Roman"/>
            <w:sz w:val="24"/>
            <w:szCs w:val="24"/>
          </w:rPr>
          <w:fldChar w:fldCharType="begin"/>
        </w:r>
        <w:r w:rsidRPr="00EA115B">
          <w:rPr>
            <w:rFonts w:ascii="Times New Roman" w:hAnsi="Times New Roman" w:cs="Times New Roman"/>
            <w:sz w:val="24"/>
            <w:szCs w:val="24"/>
          </w:rPr>
          <w:instrText xml:space="preserve"> PAGE   \* MERGEFORMAT </w:instrText>
        </w:r>
        <w:r w:rsidR="00E9537A" w:rsidRPr="00EA115B">
          <w:rPr>
            <w:rFonts w:ascii="Times New Roman" w:hAnsi="Times New Roman" w:cs="Times New Roman"/>
            <w:sz w:val="24"/>
            <w:szCs w:val="24"/>
          </w:rPr>
          <w:fldChar w:fldCharType="separate"/>
        </w:r>
        <w:r w:rsidR="00C32204">
          <w:rPr>
            <w:rFonts w:ascii="Times New Roman" w:hAnsi="Times New Roman" w:cs="Times New Roman"/>
            <w:noProof/>
            <w:sz w:val="24"/>
            <w:szCs w:val="24"/>
          </w:rPr>
          <w:t>1</w:t>
        </w:r>
        <w:r w:rsidR="00E9537A" w:rsidRPr="00EA115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c0srA0MjW2NLM0NjZV0lEKTi0uzszPAykwqgUARrhW6ywAAAA="/>
  </w:docVars>
  <w:rsids>
    <w:rsidRoot w:val="00024356"/>
    <w:rsid w:val="00024356"/>
    <w:rsid w:val="0002784C"/>
    <w:rsid w:val="0026164E"/>
    <w:rsid w:val="002D2E6E"/>
    <w:rsid w:val="00497257"/>
    <w:rsid w:val="0053253B"/>
    <w:rsid w:val="00605E3C"/>
    <w:rsid w:val="007B51A8"/>
    <w:rsid w:val="007D154B"/>
    <w:rsid w:val="007E1B56"/>
    <w:rsid w:val="009C6DAE"/>
    <w:rsid w:val="009D5AE9"/>
    <w:rsid w:val="00AE7F1A"/>
    <w:rsid w:val="00C32204"/>
    <w:rsid w:val="00CB394B"/>
    <w:rsid w:val="00E9537A"/>
    <w:rsid w:val="00EA115B"/>
    <w:rsid w:val="00F75A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A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1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15B"/>
  </w:style>
  <w:style w:type="paragraph" w:styleId="Footer">
    <w:name w:val="footer"/>
    <w:basedOn w:val="Normal"/>
    <w:link w:val="FooterChar"/>
    <w:uiPriority w:val="99"/>
    <w:unhideWhenUsed/>
    <w:rsid w:val="00EA11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1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2020-06-29T21:53:00Z</dcterms:created>
  <dcterms:modified xsi:type="dcterms:W3CDTF">2020-06-29T21:53:00Z</dcterms:modified>
</cp:coreProperties>
</file>